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2573A" w:rsidRDefault="00410BB5" w:rsidP="00410BB5">
      <w:pPr>
        <w:spacing w:after="0" w:line="312" w:lineRule="auto"/>
        <w:jc w:val="center"/>
        <w:outlineLvl w:val="1"/>
        <w:rPr>
          <w:rFonts w:eastAsia="Times New Roman" w:cs="Times New Roman"/>
          <w:b/>
          <w:bCs/>
          <w:kern w:val="0"/>
          <w:sz w:val="36"/>
          <w:szCs w:val="36"/>
          <w14:ligatures w14:val="none"/>
        </w:rPr>
      </w:pPr>
      <w:r>
        <w:rPr>
          <w:rFonts w:eastAsia="Times New Roman" w:cs="Times New Roman"/>
          <w:b/>
          <w:bCs/>
          <w:noProof/>
          <w:kern w:val="0"/>
          <w:sz w:val="36"/>
          <w:szCs w:val="36"/>
        </w:rPr>
        <w:drawing>
          <wp:inline distT="0" distB="0" distL="0" distR="0">
            <wp:extent cx="1726529" cy="586105"/>
            <wp:effectExtent l="0" t="0" r="0" b="0"/>
            <wp:docPr id="1944130147"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130147" name="Picture 1" descr="A blue and black logo&#10;&#10;AI-generated content may be incorrect."/>
                    <pic:cNvPicPr/>
                  </pic:nvPicPr>
                  <pic:blipFill rotWithShape="1">
                    <a:blip r:embed="rId7" cstate="print">
                      <a:extLst>
                        <a:ext uri="{28A0092B-C50C-407E-A947-70E740481C1C}">
                          <a14:useLocalDpi xmlns:a14="http://schemas.microsoft.com/office/drawing/2010/main" val="0"/>
                        </a:ext>
                      </a:extLst>
                    </a:blip>
                    <a:srcRect l="8469" t="19241" r="10241" b="25568"/>
                    <a:stretch>
                      <a:fillRect/>
                    </a:stretch>
                  </pic:blipFill>
                  <pic:spPr bwMode="auto">
                    <a:xfrm>
                      <a:off x="0" y="0"/>
                      <a:ext cx="1823984" cy="619188"/>
                    </a:xfrm>
                    <a:prstGeom prst="rect">
                      <a:avLst/>
                    </a:prstGeom>
                    <a:ln>
                      <a:noFill/>
                    </a:ln>
                    <a:extLst>
                      <a:ext uri="{53640926-AAD7-44D8-BBD7-CCE9431645EC}">
                        <a14:shadowObscured xmlns:a14="http://schemas.microsoft.com/office/drawing/2010/main"/>
                      </a:ext>
                    </a:extLst>
                  </pic:spPr>
                </pic:pic>
              </a:graphicData>
            </a:graphic>
          </wp:inline>
        </w:drawing>
      </w:r>
    </w:p>
    <w:p w:rsidR="001B44D8" w:rsidRPr="008B4F98" w:rsidRDefault="008E726E" w:rsidP="008E726E">
      <w:pPr>
        <w:spacing w:after="0" w:line="312" w:lineRule="auto"/>
        <w:jc w:val="center"/>
        <w:outlineLvl w:val="1"/>
        <w:rPr>
          <w:rFonts w:eastAsia="Times New Roman" w:cs="Times New Roman"/>
          <w:b/>
          <w:bCs/>
          <w:kern w:val="0"/>
          <w:sz w:val="32"/>
          <w:szCs w:val="32"/>
          <w14:ligatures w14:val="none"/>
        </w:rPr>
      </w:pPr>
      <w:r w:rsidRPr="008B4F98">
        <w:rPr>
          <w:rFonts w:eastAsia="Times New Roman" w:cs="Times New Roman"/>
          <w:b/>
          <w:bCs/>
          <w:kern w:val="0"/>
          <w:sz w:val="32"/>
          <w:szCs w:val="32"/>
          <w14:ligatures w14:val="none"/>
        </w:rPr>
        <w:t xml:space="preserve">Information </w:t>
      </w:r>
      <w:r w:rsidR="009B33C0" w:rsidRPr="008B4F98">
        <w:rPr>
          <w:rFonts w:eastAsia="Times New Roman" w:cs="Times New Roman"/>
          <w:b/>
          <w:bCs/>
          <w:kern w:val="0"/>
          <w:sz w:val="32"/>
          <w:szCs w:val="32"/>
          <w14:ligatures w14:val="none"/>
        </w:rPr>
        <w:t>Notice</w:t>
      </w:r>
      <w:r w:rsidRPr="008B4F98">
        <w:rPr>
          <w:rFonts w:eastAsia="Times New Roman" w:cs="Times New Roman"/>
          <w:b/>
          <w:bCs/>
          <w:kern w:val="0"/>
          <w:sz w:val="32"/>
          <w:szCs w:val="32"/>
          <w14:ligatures w14:val="none"/>
        </w:rPr>
        <w:t xml:space="preserve"> </w:t>
      </w:r>
    </w:p>
    <w:p w:rsidR="003468E5" w:rsidRPr="000B00DE" w:rsidRDefault="009B33C0" w:rsidP="000B00DE">
      <w:pPr>
        <w:spacing w:after="0" w:line="312" w:lineRule="auto"/>
        <w:jc w:val="center"/>
        <w:outlineLvl w:val="1"/>
        <w:rPr>
          <w:rFonts w:eastAsia="Times New Roman" w:cs="Times New Roman"/>
          <w:b/>
          <w:bCs/>
          <w:kern w:val="0"/>
          <w:sz w:val="40"/>
          <w:szCs w:val="40"/>
          <w14:ligatures w14:val="none"/>
        </w:rPr>
      </w:pPr>
      <w:r w:rsidRPr="008B4F98">
        <w:rPr>
          <w:rFonts w:eastAsia="Times New Roman" w:cs="Times New Roman"/>
          <w:b/>
          <w:bCs/>
          <w:kern w:val="0"/>
          <w:sz w:val="40"/>
          <w:szCs w:val="40"/>
          <w14:ligatures w14:val="none"/>
        </w:rPr>
        <w:t>R</w:t>
      </w:r>
      <w:r w:rsidR="008E726E" w:rsidRPr="008B4F98">
        <w:rPr>
          <w:rFonts w:eastAsia="Times New Roman" w:cs="Times New Roman"/>
          <w:b/>
          <w:bCs/>
          <w:kern w:val="0"/>
          <w:sz w:val="40"/>
          <w:szCs w:val="40"/>
          <w14:ligatures w14:val="none"/>
        </w:rPr>
        <w:t xml:space="preserve">equired </w:t>
      </w:r>
      <w:r w:rsidRPr="008B4F98">
        <w:rPr>
          <w:rFonts w:eastAsia="Times New Roman" w:cs="Times New Roman"/>
          <w:b/>
          <w:bCs/>
          <w:kern w:val="0"/>
          <w:sz w:val="40"/>
          <w:szCs w:val="40"/>
          <w14:ligatures w14:val="none"/>
        </w:rPr>
        <w:t xml:space="preserve">FinCEN </w:t>
      </w:r>
      <w:r w:rsidR="008E726E" w:rsidRPr="008B4F98">
        <w:rPr>
          <w:rFonts w:eastAsia="Times New Roman" w:cs="Times New Roman"/>
          <w:b/>
          <w:bCs/>
          <w:kern w:val="0"/>
          <w:sz w:val="40"/>
          <w:szCs w:val="40"/>
          <w14:ligatures w14:val="none"/>
        </w:rPr>
        <w:t>Real Estate Report</w:t>
      </w:r>
    </w:p>
    <w:p w:rsidR="008E726E" w:rsidRPr="000B00DE" w:rsidRDefault="009B33C0" w:rsidP="008E726E">
      <w:pPr>
        <w:spacing w:before="100" w:beforeAutospacing="1" w:after="100" w:afterAutospacing="1" w:line="240" w:lineRule="auto"/>
        <w:rPr>
          <w:rFonts w:eastAsia="Times New Roman"/>
          <w:kern w:val="0"/>
          <w:sz w:val="21"/>
          <w:szCs w:val="21"/>
          <w14:ligatures w14:val="none"/>
        </w:rPr>
      </w:pPr>
      <w:r w:rsidRPr="000B00DE">
        <w:rPr>
          <w:rFonts w:eastAsia="Times New Roman"/>
          <w:kern w:val="0"/>
          <w:sz w:val="21"/>
          <w:szCs w:val="21"/>
          <w14:ligatures w14:val="none"/>
        </w:rPr>
        <w:t>Under a new federal requirement, a</w:t>
      </w:r>
      <w:r w:rsidR="008E726E" w:rsidRPr="000B00DE">
        <w:rPr>
          <w:rFonts w:eastAsia="Times New Roman"/>
          <w:kern w:val="0"/>
          <w:sz w:val="21"/>
          <w:szCs w:val="21"/>
          <w14:ligatures w14:val="none"/>
        </w:rPr>
        <w:t>ll settlement and title offices nationwide are required to collect information and file a mandatory FinCEN Real Estate Report whenever a residential property is transferred without financing and the buyer is an entity or trust.</w:t>
      </w:r>
      <w:r w:rsidRPr="000B00DE">
        <w:rPr>
          <w:rFonts w:eastAsia="Times New Roman"/>
          <w:kern w:val="0"/>
          <w:sz w:val="21"/>
          <w:szCs w:val="21"/>
          <w14:ligatures w14:val="none"/>
        </w:rPr>
        <w:t xml:space="preserve"> This is a common new report with nearly one million estimated filings per year across the U.S. for transactions that close after 12/1/2025. </w:t>
      </w:r>
    </w:p>
    <w:p w:rsidR="008E726E" w:rsidRPr="000B00DE" w:rsidRDefault="008E726E" w:rsidP="008E726E">
      <w:pPr>
        <w:spacing w:before="100" w:beforeAutospacing="1" w:after="100" w:afterAutospacing="1" w:line="240" w:lineRule="auto"/>
        <w:rPr>
          <w:rFonts w:eastAsia="Times New Roman"/>
          <w:kern w:val="0"/>
          <w:sz w:val="21"/>
          <w:szCs w:val="21"/>
          <w14:ligatures w14:val="none"/>
        </w:rPr>
      </w:pPr>
      <w:r w:rsidRPr="000B00DE">
        <w:rPr>
          <w:rFonts w:eastAsia="Times New Roman"/>
          <w:kern w:val="0"/>
          <w:sz w:val="21"/>
          <w:szCs w:val="21"/>
          <w14:ligatures w14:val="none"/>
        </w:rPr>
        <w:t>There is no minimum price threshold for this rule. It applies to gifts, no-consideration transfers, and all qualifying transactions. We handle this process for you. Before closing, we collect the required information through a secure form or encrypted link, and we prepare and submit the filing on your behalf. You simply certify that the information you provide is accurate and complete, as required by federal law.</w:t>
      </w:r>
    </w:p>
    <w:p w:rsidR="008E726E" w:rsidRPr="000B00DE" w:rsidRDefault="008E726E" w:rsidP="0082573A">
      <w:pPr>
        <w:spacing w:before="100" w:beforeAutospacing="1" w:after="0" w:line="240" w:lineRule="auto"/>
        <w:rPr>
          <w:rFonts w:eastAsia="Times New Roman"/>
          <w:kern w:val="0"/>
          <w:sz w:val="21"/>
          <w:szCs w:val="21"/>
          <w14:ligatures w14:val="none"/>
        </w:rPr>
      </w:pPr>
      <w:r w:rsidRPr="000B00DE">
        <w:rPr>
          <w:rFonts w:eastAsia="Times New Roman"/>
          <w:kern w:val="0"/>
          <w:sz w:val="21"/>
          <w:szCs w:val="21"/>
          <w14:ligatures w14:val="none"/>
        </w:rPr>
        <w:t>If the buyer is an entity (such as an LLC or corporation):</w:t>
      </w:r>
    </w:p>
    <w:p w:rsidR="008E726E" w:rsidRPr="000B00DE" w:rsidRDefault="008E726E" w:rsidP="0082573A">
      <w:pPr>
        <w:numPr>
          <w:ilvl w:val="0"/>
          <w:numId w:val="2"/>
        </w:numPr>
        <w:spacing w:after="100" w:afterAutospacing="1" w:line="240" w:lineRule="auto"/>
        <w:rPr>
          <w:rFonts w:eastAsia="Times New Roman"/>
          <w:kern w:val="0"/>
          <w:sz w:val="21"/>
          <w:szCs w:val="21"/>
          <w14:ligatures w14:val="none"/>
        </w:rPr>
      </w:pPr>
      <w:r w:rsidRPr="000B00DE">
        <w:rPr>
          <w:rFonts w:eastAsia="Times New Roman"/>
          <w:kern w:val="0"/>
          <w:sz w:val="21"/>
          <w:szCs w:val="21"/>
          <w14:ligatures w14:val="none"/>
        </w:rPr>
        <w:t>Identify every individual who exercises substantial control or owns or controls at least 25% of the entity.</w:t>
      </w:r>
    </w:p>
    <w:p w:rsidR="008E726E" w:rsidRPr="000B00DE" w:rsidRDefault="008E726E" w:rsidP="008E726E">
      <w:pPr>
        <w:numPr>
          <w:ilvl w:val="0"/>
          <w:numId w:val="2"/>
        </w:numPr>
        <w:spacing w:before="100" w:beforeAutospacing="1" w:after="100" w:afterAutospacing="1" w:line="240" w:lineRule="auto"/>
        <w:rPr>
          <w:rFonts w:eastAsia="Times New Roman"/>
          <w:kern w:val="0"/>
          <w:sz w:val="21"/>
          <w:szCs w:val="21"/>
          <w14:ligatures w14:val="none"/>
        </w:rPr>
      </w:pPr>
      <w:r w:rsidRPr="000B00DE">
        <w:rPr>
          <w:rFonts w:eastAsia="Times New Roman"/>
          <w:kern w:val="0"/>
          <w:sz w:val="21"/>
          <w:szCs w:val="21"/>
          <w14:ligatures w14:val="none"/>
        </w:rPr>
        <w:t>If no one meets the 25% ownership threshold, at least one individual with significant managerial control must be identified.</w:t>
      </w:r>
    </w:p>
    <w:p w:rsidR="008E726E" w:rsidRPr="000B00DE" w:rsidRDefault="008E726E" w:rsidP="008E726E">
      <w:pPr>
        <w:numPr>
          <w:ilvl w:val="0"/>
          <w:numId w:val="2"/>
        </w:numPr>
        <w:spacing w:before="100" w:beforeAutospacing="1" w:after="100" w:afterAutospacing="1" w:line="240" w:lineRule="auto"/>
        <w:rPr>
          <w:rFonts w:eastAsia="Times New Roman"/>
          <w:kern w:val="0"/>
          <w:sz w:val="21"/>
          <w:szCs w:val="21"/>
          <w14:ligatures w14:val="none"/>
        </w:rPr>
      </w:pPr>
      <w:r w:rsidRPr="000B00DE">
        <w:rPr>
          <w:rFonts w:eastAsia="Times New Roman"/>
          <w:kern w:val="0"/>
          <w:sz w:val="21"/>
          <w:szCs w:val="21"/>
          <w14:ligatures w14:val="none"/>
        </w:rPr>
        <w:t>When an owner is another legal entity, you must disclose the natural persons who own or control that entity.</w:t>
      </w:r>
    </w:p>
    <w:p w:rsidR="008E726E" w:rsidRPr="000B00DE" w:rsidRDefault="008E726E" w:rsidP="0082573A">
      <w:pPr>
        <w:spacing w:before="100" w:beforeAutospacing="1" w:after="0" w:line="240" w:lineRule="auto"/>
        <w:rPr>
          <w:rFonts w:eastAsia="Times New Roman"/>
          <w:kern w:val="0"/>
          <w:sz w:val="21"/>
          <w:szCs w:val="21"/>
          <w14:ligatures w14:val="none"/>
        </w:rPr>
      </w:pPr>
      <w:r w:rsidRPr="000B00DE">
        <w:rPr>
          <w:rFonts w:eastAsia="Times New Roman"/>
          <w:kern w:val="0"/>
          <w:sz w:val="21"/>
          <w:szCs w:val="21"/>
          <w14:ligatures w14:val="none"/>
        </w:rPr>
        <w:t>If the buyer is a trust:</w:t>
      </w:r>
    </w:p>
    <w:p w:rsidR="008E726E" w:rsidRPr="000B00DE" w:rsidRDefault="008E726E" w:rsidP="0082573A">
      <w:pPr>
        <w:numPr>
          <w:ilvl w:val="0"/>
          <w:numId w:val="3"/>
        </w:numPr>
        <w:spacing w:after="100" w:afterAutospacing="1" w:line="240" w:lineRule="auto"/>
        <w:rPr>
          <w:rFonts w:eastAsia="Times New Roman"/>
          <w:kern w:val="0"/>
          <w:sz w:val="21"/>
          <w:szCs w:val="21"/>
          <w14:ligatures w14:val="none"/>
        </w:rPr>
      </w:pPr>
      <w:r w:rsidRPr="000B00DE">
        <w:rPr>
          <w:rFonts w:eastAsia="Times New Roman"/>
          <w:kern w:val="0"/>
          <w:sz w:val="21"/>
          <w:szCs w:val="21"/>
          <w14:ligatures w14:val="none"/>
        </w:rPr>
        <w:t>Identify all trustees.</w:t>
      </w:r>
    </w:p>
    <w:p w:rsidR="008E726E" w:rsidRPr="000B00DE" w:rsidRDefault="008E726E" w:rsidP="008E726E">
      <w:pPr>
        <w:numPr>
          <w:ilvl w:val="0"/>
          <w:numId w:val="3"/>
        </w:numPr>
        <w:spacing w:before="100" w:beforeAutospacing="1" w:after="100" w:afterAutospacing="1" w:line="240" w:lineRule="auto"/>
        <w:rPr>
          <w:rFonts w:eastAsia="Times New Roman"/>
          <w:kern w:val="0"/>
          <w:sz w:val="21"/>
          <w:szCs w:val="21"/>
          <w14:ligatures w14:val="none"/>
        </w:rPr>
      </w:pPr>
      <w:r w:rsidRPr="000B00DE">
        <w:rPr>
          <w:rFonts w:eastAsia="Times New Roman"/>
          <w:kern w:val="0"/>
          <w:sz w:val="21"/>
          <w:szCs w:val="21"/>
          <w14:ligatures w14:val="none"/>
        </w:rPr>
        <w:t>Identify all beneficiaries who can demand a distribution or withdraw substantially all trust assets.</w:t>
      </w:r>
    </w:p>
    <w:p w:rsidR="008E726E" w:rsidRPr="000B00DE" w:rsidRDefault="008E726E" w:rsidP="008E726E">
      <w:pPr>
        <w:numPr>
          <w:ilvl w:val="0"/>
          <w:numId w:val="3"/>
        </w:numPr>
        <w:spacing w:before="100" w:beforeAutospacing="1" w:after="100" w:afterAutospacing="1" w:line="240" w:lineRule="auto"/>
        <w:rPr>
          <w:rFonts w:eastAsia="Times New Roman"/>
          <w:kern w:val="0"/>
          <w:sz w:val="21"/>
          <w:szCs w:val="21"/>
          <w14:ligatures w14:val="none"/>
        </w:rPr>
      </w:pPr>
      <w:r w:rsidRPr="000B00DE">
        <w:rPr>
          <w:rFonts w:eastAsia="Times New Roman"/>
          <w:kern w:val="0"/>
          <w:sz w:val="21"/>
          <w:szCs w:val="21"/>
          <w14:ligatures w14:val="none"/>
        </w:rPr>
        <w:t>Identify all grantors or settlors who have the right to revoke the trust.</w:t>
      </w:r>
    </w:p>
    <w:p w:rsidR="008E726E" w:rsidRPr="000B00DE" w:rsidRDefault="008E726E" w:rsidP="008E726E">
      <w:pPr>
        <w:numPr>
          <w:ilvl w:val="0"/>
          <w:numId w:val="3"/>
        </w:numPr>
        <w:spacing w:before="100" w:beforeAutospacing="1" w:after="100" w:afterAutospacing="1" w:line="240" w:lineRule="auto"/>
        <w:rPr>
          <w:rFonts w:eastAsia="Times New Roman"/>
          <w:kern w:val="0"/>
          <w:sz w:val="21"/>
          <w:szCs w:val="21"/>
          <w14:ligatures w14:val="none"/>
        </w:rPr>
      </w:pPr>
      <w:r w:rsidRPr="000B00DE">
        <w:rPr>
          <w:rFonts w:eastAsia="Times New Roman"/>
          <w:kern w:val="0"/>
          <w:sz w:val="21"/>
          <w:szCs w:val="21"/>
          <w14:ligatures w14:val="none"/>
        </w:rPr>
        <w:t>If a trustee is a legal entity, its beneficial owners must also be provided.</w:t>
      </w:r>
    </w:p>
    <w:p w:rsidR="008E726E" w:rsidRPr="000B00DE" w:rsidRDefault="008E726E" w:rsidP="008E726E">
      <w:pPr>
        <w:spacing w:before="100" w:beforeAutospacing="1" w:after="100" w:afterAutospacing="1" w:line="240" w:lineRule="auto"/>
        <w:rPr>
          <w:rFonts w:eastAsia="Times New Roman"/>
          <w:kern w:val="0"/>
          <w:sz w:val="21"/>
          <w:szCs w:val="21"/>
          <w14:ligatures w14:val="none"/>
        </w:rPr>
      </w:pPr>
      <w:r w:rsidRPr="000B00DE">
        <w:rPr>
          <w:rFonts w:eastAsia="Times New Roman"/>
          <w:kern w:val="0"/>
          <w:sz w:val="21"/>
          <w:szCs w:val="21"/>
          <w14:ligatures w14:val="none"/>
        </w:rPr>
        <w:t>Information is also required for any seller in these transactions, including their identifying tax number.</w:t>
      </w:r>
    </w:p>
    <w:p w:rsidR="008E726E" w:rsidRPr="000B00DE" w:rsidRDefault="008E726E" w:rsidP="0082573A">
      <w:pPr>
        <w:spacing w:before="100" w:beforeAutospacing="1" w:after="0" w:line="240" w:lineRule="auto"/>
        <w:rPr>
          <w:rFonts w:eastAsia="Times New Roman"/>
          <w:kern w:val="0"/>
          <w:sz w:val="21"/>
          <w:szCs w:val="21"/>
          <w14:ligatures w14:val="none"/>
        </w:rPr>
      </w:pPr>
      <w:r w:rsidRPr="000B00DE">
        <w:rPr>
          <w:rFonts w:eastAsia="Times New Roman"/>
          <w:kern w:val="0"/>
          <w:sz w:val="21"/>
          <w:szCs w:val="21"/>
          <w14:ligatures w14:val="none"/>
        </w:rPr>
        <w:t>For all required parties, we collect the basics:</w:t>
      </w:r>
    </w:p>
    <w:p w:rsidR="008E726E" w:rsidRPr="000B00DE" w:rsidRDefault="008E726E" w:rsidP="0082573A">
      <w:pPr>
        <w:numPr>
          <w:ilvl w:val="0"/>
          <w:numId w:val="4"/>
        </w:numPr>
        <w:spacing w:after="100" w:afterAutospacing="1" w:line="240" w:lineRule="auto"/>
        <w:rPr>
          <w:rFonts w:eastAsia="Times New Roman"/>
          <w:kern w:val="0"/>
          <w:sz w:val="21"/>
          <w:szCs w:val="21"/>
          <w14:ligatures w14:val="none"/>
        </w:rPr>
      </w:pPr>
      <w:r w:rsidRPr="000B00DE">
        <w:rPr>
          <w:rFonts w:eastAsia="Times New Roman"/>
          <w:kern w:val="0"/>
          <w:sz w:val="21"/>
          <w:szCs w:val="21"/>
          <w14:ligatures w14:val="none"/>
        </w:rPr>
        <w:t>Legal name</w:t>
      </w:r>
    </w:p>
    <w:p w:rsidR="008E726E" w:rsidRPr="000B00DE" w:rsidRDefault="008E726E" w:rsidP="008E726E">
      <w:pPr>
        <w:numPr>
          <w:ilvl w:val="0"/>
          <w:numId w:val="4"/>
        </w:numPr>
        <w:spacing w:before="100" w:beforeAutospacing="1" w:after="100" w:afterAutospacing="1" w:line="240" w:lineRule="auto"/>
        <w:rPr>
          <w:rFonts w:eastAsia="Times New Roman"/>
          <w:kern w:val="0"/>
          <w:sz w:val="21"/>
          <w:szCs w:val="21"/>
          <w14:ligatures w14:val="none"/>
        </w:rPr>
      </w:pPr>
      <w:r w:rsidRPr="000B00DE">
        <w:rPr>
          <w:rFonts w:eastAsia="Times New Roman"/>
          <w:kern w:val="0"/>
          <w:sz w:val="21"/>
          <w:szCs w:val="21"/>
          <w14:ligatures w14:val="none"/>
        </w:rPr>
        <w:t>Date of birth</w:t>
      </w:r>
    </w:p>
    <w:p w:rsidR="008E726E" w:rsidRPr="000B00DE" w:rsidRDefault="008E726E" w:rsidP="008E726E">
      <w:pPr>
        <w:numPr>
          <w:ilvl w:val="0"/>
          <w:numId w:val="4"/>
        </w:numPr>
        <w:spacing w:before="100" w:beforeAutospacing="1" w:after="100" w:afterAutospacing="1" w:line="240" w:lineRule="auto"/>
        <w:rPr>
          <w:rFonts w:eastAsia="Times New Roman"/>
          <w:kern w:val="0"/>
          <w:sz w:val="21"/>
          <w:szCs w:val="21"/>
          <w14:ligatures w14:val="none"/>
        </w:rPr>
      </w:pPr>
      <w:r w:rsidRPr="000B00DE">
        <w:rPr>
          <w:rFonts w:eastAsia="Times New Roman"/>
          <w:kern w:val="0"/>
          <w:sz w:val="21"/>
          <w:szCs w:val="21"/>
          <w14:ligatures w14:val="none"/>
        </w:rPr>
        <w:t>Residential address</w:t>
      </w:r>
    </w:p>
    <w:p w:rsidR="008E726E" w:rsidRPr="000B00DE" w:rsidRDefault="008E726E" w:rsidP="008E726E">
      <w:pPr>
        <w:numPr>
          <w:ilvl w:val="0"/>
          <w:numId w:val="4"/>
        </w:numPr>
        <w:spacing w:before="100" w:beforeAutospacing="1" w:after="100" w:afterAutospacing="1" w:line="240" w:lineRule="auto"/>
        <w:rPr>
          <w:rFonts w:eastAsia="Times New Roman"/>
          <w:kern w:val="0"/>
          <w:sz w:val="21"/>
          <w:szCs w:val="21"/>
          <w14:ligatures w14:val="none"/>
        </w:rPr>
      </w:pPr>
      <w:r w:rsidRPr="000B00DE">
        <w:rPr>
          <w:rFonts w:eastAsia="Times New Roman"/>
          <w:kern w:val="0"/>
          <w:sz w:val="21"/>
          <w:szCs w:val="21"/>
          <w14:ligatures w14:val="none"/>
        </w:rPr>
        <w:t>Taxpayer ID and payment account information (where required)</w:t>
      </w:r>
    </w:p>
    <w:p w:rsidR="008E726E" w:rsidRPr="000B00DE" w:rsidRDefault="008E726E" w:rsidP="008E726E">
      <w:pPr>
        <w:numPr>
          <w:ilvl w:val="0"/>
          <w:numId w:val="4"/>
        </w:numPr>
        <w:spacing w:before="100" w:beforeAutospacing="1" w:after="100" w:afterAutospacing="1" w:line="240" w:lineRule="auto"/>
        <w:rPr>
          <w:rFonts w:eastAsia="Times New Roman"/>
          <w:kern w:val="0"/>
          <w:sz w:val="21"/>
          <w:szCs w:val="21"/>
          <w14:ligatures w14:val="none"/>
        </w:rPr>
      </w:pPr>
      <w:r w:rsidRPr="000B00DE">
        <w:rPr>
          <w:rFonts w:eastAsia="Times New Roman"/>
          <w:kern w:val="0"/>
          <w:sz w:val="21"/>
          <w:szCs w:val="21"/>
          <w14:ligatures w14:val="none"/>
        </w:rPr>
        <w:t>Identifying documents for verification</w:t>
      </w:r>
    </w:p>
    <w:p w:rsidR="00AF10BA" w:rsidRPr="000B00DE" w:rsidRDefault="008E726E" w:rsidP="00927AE2">
      <w:pPr>
        <w:spacing w:before="100" w:beforeAutospacing="1" w:after="100" w:afterAutospacing="1" w:line="240" w:lineRule="auto"/>
        <w:rPr>
          <w:rFonts w:eastAsia="Times New Roman"/>
          <w:kern w:val="0"/>
          <w:sz w:val="21"/>
          <w:szCs w:val="21"/>
          <w14:ligatures w14:val="none"/>
        </w:rPr>
      </w:pPr>
      <w:r w:rsidRPr="000B00DE">
        <w:rPr>
          <w:rFonts w:eastAsia="Times New Roman"/>
          <w:kern w:val="0"/>
          <w:sz w:val="21"/>
          <w:szCs w:val="21"/>
          <w14:ligatures w14:val="none"/>
        </w:rPr>
        <w:t>We use a software service to make this process fast and secure. You’ll receive an encrypted link, follow simple step-by-step prompts, and submit everything in less than five minutes.</w:t>
      </w:r>
    </w:p>
    <w:sectPr w:rsidR="00AF10BA" w:rsidRPr="000B00DE" w:rsidSect="00A73CA3">
      <w:footerReference w:type="default" r:id="rId8"/>
      <w:pgSz w:w="12240" w:h="15840"/>
      <w:pgMar w:top="1440" w:right="1440" w:bottom="1440" w:left="144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1696" w:rsidRDefault="00B01696" w:rsidP="00AF10BA">
      <w:pPr>
        <w:spacing w:after="0" w:line="240" w:lineRule="auto"/>
      </w:pPr>
      <w:r>
        <w:separator/>
      </w:r>
    </w:p>
  </w:endnote>
  <w:endnote w:type="continuationSeparator" w:id="0">
    <w:p w:rsidR="00B01696" w:rsidRDefault="00B01696" w:rsidP="00AF10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10BA" w:rsidRPr="00EC106C" w:rsidRDefault="00AF10BA" w:rsidP="00AF10BA">
    <w:pPr>
      <w:tabs>
        <w:tab w:val="center" w:pos="4680"/>
        <w:tab w:val="left" w:pos="7826"/>
      </w:tabs>
      <w:spacing w:after="0" w:line="240" w:lineRule="auto"/>
      <w:rPr>
        <w:rFonts w:eastAsia="Times New Roman"/>
        <w:i/>
        <w:iCs/>
        <w:color w:val="595959" w:themeColor="text1" w:themeTint="A6"/>
        <w:kern w:val="0"/>
        <w:sz w:val="16"/>
        <w:szCs w:val="16"/>
        <w14:ligatures w14:val="none"/>
      </w:rPr>
    </w:pPr>
    <w:r w:rsidRPr="00EC106C">
      <w:rPr>
        <w:rFonts w:eastAsia="Times New Roman"/>
        <w:i/>
        <w:iCs/>
        <w:color w:val="595959" w:themeColor="text1" w:themeTint="A6"/>
        <w:kern w:val="0"/>
        <w:sz w:val="16"/>
        <w:szCs w:val="16"/>
        <w14:ligatures w14:val="none"/>
      </w:rPr>
      <w:tab/>
    </w:r>
  </w:p>
  <w:p w:rsidR="00AF10BA" w:rsidRPr="00EC106C" w:rsidRDefault="00AF10BA" w:rsidP="00AF10BA">
    <w:pPr>
      <w:spacing w:after="0" w:line="240" w:lineRule="auto"/>
      <w:jc w:val="center"/>
      <w:rPr>
        <w:rFonts w:eastAsia="Times New Roman"/>
        <w:b/>
        <w:bCs/>
        <w:i/>
        <w:iCs/>
        <w:color w:val="595959" w:themeColor="text1" w:themeTint="A6"/>
        <w:kern w:val="0"/>
        <w:sz w:val="16"/>
        <w:szCs w:val="16"/>
        <w14:ligatures w14:val="none"/>
      </w:rPr>
    </w:pPr>
    <w:r w:rsidRPr="00EC106C">
      <w:rPr>
        <w:rFonts w:eastAsia="Times New Roman"/>
        <w:b/>
        <w:bCs/>
        <w:i/>
        <w:iCs/>
        <w:color w:val="595959" w:themeColor="text1" w:themeTint="A6"/>
        <w:kern w:val="0"/>
        <w:sz w:val="16"/>
        <w:szCs w:val="16"/>
        <w14:ligatures w14:val="none"/>
      </w:rPr>
      <w:t>Form template courtesy of FincenRealEstateReport.com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1696" w:rsidRDefault="00B01696" w:rsidP="00AF10BA">
      <w:pPr>
        <w:spacing w:after="0" w:line="240" w:lineRule="auto"/>
      </w:pPr>
      <w:r>
        <w:separator/>
      </w:r>
    </w:p>
  </w:footnote>
  <w:footnote w:type="continuationSeparator" w:id="0">
    <w:p w:rsidR="00B01696" w:rsidRDefault="00B01696" w:rsidP="00AF10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B328E"/>
    <w:multiLevelType w:val="multilevel"/>
    <w:tmpl w:val="7B501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A759FB"/>
    <w:multiLevelType w:val="multilevel"/>
    <w:tmpl w:val="6F44E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8C6768"/>
    <w:multiLevelType w:val="multilevel"/>
    <w:tmpl w:val="8A708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911703"/>
    <w:multiLevelType w:val="multilevel"/>
    <w:tmpl w:val="1074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9285812">
    <w:abstractNumId w:val="0"/>
  </w:num>
  <w:num w:numId="2" w16cid:durableId="1599944209">
    <w:abstractNumId w:val="1"/>
  </w:num>
  <w:num w:numId="3" w16cid:durableId="516238227">
    <w:abstractNumId w:val="3"/>
  </w:num>
  <w:num w:numId="4" w16cid:durableId="3359604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A0A"/>
    <w:rsid w:val="000B00DE"/>
    <w:rsid w:val="001B420D"/>
    <w:rsid w:val="001B44D8"/>
    <w:rsid w:val="0025030D"/>
    <w:rsid w:val="00261C6D"/>
    <w:rsid w:val="002873EE"/>
    <w:rsid w:val="0032456D"/>
    <w:rsid w:val="003468E5"/>
    <w:rsid w:val="003F0E4F"/>
    <w:rsid w:val="00410BB5"/>
    <w:rsid w:val="00524120"/>
    <w:rsid w:val="00612021"/>
    <w:rsid w:val="006C4A0A"/>
    <w:rsid w:val="006E076D"/>
    <w:rsid w:val="007221D4"/>
    <w:rsid w:val="0082573A"/>
    <w:rsid w:val="008B4F98"/>
    <w:rsid w:val="008E726E"/>
    <w:rsid w:val="00915FF6"/>
    <w:rsid w:val="00927AE2"/>
    <w:rsid w:val="009B33C0"/>
    <w:rsid w:val="00A73CA3"/>
    <w:rsid w:val="00AF10BA"/>
    <w:rsid w:val="00AF7E2C"/>
    <w:rsid w:val="00B01696"/>
    <w:rsid w:val="00BE0070"/>
    <w:rsid w:val="00C611AE"/>
    <w:rsid w:val="00C86084"/>
    <w:rsid w:val="00CF3C27"/>
    <w:rsid w:val="00D275C2"/>
    <w:rsid w:val="00D56853"/>
    <w:rsid w:val="00E01FD4"/>
    <w:rsid w:val="00E930B9"/>
    <w:rsid w:val="00EC106C"/>
    <w:rsid w:val="00F45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30C725"/>
  <w15:chartTrackingRefBased/>
  <w15:docId w15:val="{73DA6D2F-2EA6-0347-A825-B3D3F4ADD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A0A"/>
  </w:style>
  <w:style w:type="paragraph" w:styleId="Heading1">
    <w:name w:val="heading 1"/>
    <w:basedOn w:val="Normal"/>
    <w:next w:val="Normal"/>
    <w:link w:val="Heading1Char"/>
    <w:uiPriority w:val="9"/>
    <w:qFormat/>
    <w:rsid w:val="006C4A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4A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4A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4A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4A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4A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4A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4A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4A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4A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4A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4A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4A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4A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4A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4A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4A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4A0A"/>
    <w:rPr>
      <w:rFonts w:eastAsiaTheme="majorEastAsia" w:cstheme="majorBidi"/>
      <w:color w:val="272727" w:themeColor="text1" w:themeTint="D8"/>
    </w:rPr>
  </w:style>
  <w:style w:type="paragraph" w:styleId="Title">
    <w:name w:val="Title"/>
    <w:basedOn w:val="Normal"/>
    <w:next w:val="Normal"/>
    <w:link w:val="TitleChar"/>
    <w:uiPriority w:val="10"/>
    <w:qFormat/>
    <w:rsid w:val="006C4A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4A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4A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4A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4A0A"/>
    <w:pPr>
      <w:spacing w:before="160"/>
      <w:jc w:val="center"/>
    </w:pPr>
    <w:rPr>
      <w:i/>
      <w:iCs/>
      <w:color w:val="404040" w:themeColor="text1" w:themeTint="BF"/>
    </w:rPr>
  </w:style>
  <w:style w:type="character" w:customStyle="1" w:styleId="QuoteChar">
    <w:name w:val="Quote Char"/>
    <w:basedOn w:val="DefaultParagraphFont"/>
    <w:link w:val="Quote"/>
    <w:uiPriority w:val="29"/>
    <w:rsid w:val="006C4A0A"/>
    <w:rPr>
      <w:i/>
      <w:iCs/>
      <w:color w:val="404040" w:themeColor="text1" w:themeTint="BF"/>
    </w:rPr>
  </w:style>
  <w:style w:type="paragraph" w:styleId="ListParagraph">
    <w:name w:val="List Paragraph"/>
    <w:basedOn w:val="Normal"/>
    <w:uiPriority w:val="34"/>
    <w:qFormat/>
    <w:rsid w:val="006C4A0A"/>
    <w:pPr>
      <w:ind w:left="720"/>
      <w:contextualSpacing/>
    </w:pPr>
  </w:style>
  <w:style w:type="character" w:styleId="IntenseEmphasis">
    <w:name w:val="Intense Emphasis"/>
    <w:basedOn w:val="DefaultParagraphFont"/>
    <w:uiPriority w:val="21"/>
    <w:qFormat/>
    <w:rsid w:val="006C4A0A"/>
    <w:rPr>
      <w:i/>
      <w:iCs/>
      <w:color w:val="0F4761" w:themeColor="accent1" w:themeShade="BF"/>
    </w:rPr>
  </w:style>
  <w:style w:type="paragraph" w:styleId="IntenseQuote">
    <w:name w:val="Intense Quote"/>
    <w:basedOn w:val="Normal"/>
    <w:next w:val="Normal"/>
    <w:link w:val="IntenseQuoteChar"/>
    <w:uiPriority w:val="30"/>
    <w:qFormat/>
    <w:rsid w:val="006C4A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4A0A"/>
    <w:rPr>
      <w:i/>
      <w:iCs/>
      <w:color w:val="0F4761" w:themeColor="accent1" w:themeShade="BF"/>
    </w:rPr>
  </w:style>
  <w:style w:type="character" w:styleId="IntenseReference">
    <w:name w:val="Intense Reference"/>
    <w:basedOn w:val="DefaultParagraphFont"/>
    <w:uiPriority w:val="32"/>
    <w:qFormat/>
    <w:rsid w:val="006C4A0A"/>
    <w:rPr>
      <w:b/>
      <w:bCs/>
      <w:smallCaps/>
      <w:color w:val="0F4761" w:themeColor="accent1" w:themeShade="BF"/>
      <w:spacing w:val="5"/>
    </w:rPr>
  </w:style>
  <w:style w:type="paragraph" w:styleId="NormalWeb">
    <w:name w:val="Normal (Web)"/>
    <w:basedOn w:val="Normal"/>
    <w:uiPriority w:val="99"/>
    <w:semiHidden/>
    <w:unhideWhenUsed/>
    <w:rsid w:val="006C4A0A"/>
    <w:rPr>
      <w:rFonts w:ascii="Times New Roman" w:hAnsi="Times New Roman" w:cs="Times New Roman"/>
    </w:rPr>
  </w:style>
  <w:style w:type="paragraph" w:styleId="Header">
    <w:name w:val="header"/>
    <w:basedOn w:val="Normal"/>
    <w:link w:val="HeaderChar"/>
    <w:uiPriority w:val="99"/>
    <w:unhideWhenUsed/>
    <w:rsid w:val="00AF10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0BA"/>
  </w:style>
  <w:style w:type="paragraph" w:styleId="Footer">
    <w:name w:val="footer"/>
    <w:basedOn w:val="Normal"/>
    <w:link w:val="FooterChar"/>
    <w:uiPriority w:val="99"/>
    <w:unhideWhenUsed/>
    <w:rsid w:val="00AF10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FetchInsights</dc:creator>
  <cp:keywords/>
  <dc:description/>
  <cp:lastModifiedBy>FincenRealEstateReport.com</cp:lastModifiedBy>
  <cp:revision>18</cp:revision>
  <cp:lastPrinted>2025-09-01T18:13:00Z</cp:lastPrinted>
  <dcterms:created xsi:type="dcterms:W3CDTF">2025-08-03T18:51:00Z</dcterms:created>
  <dcterms:modified xsi:type="dcterms:W3CDTF">2025-09-01T18:25:00Z</dcterms:modified>
</cp:coreProperties>
</file>